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D810C5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т.ч.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9 часов, в т.ч.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D810C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lastRenderedPageBreak/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lastRenderedPageBreak/>
            <w:t>Инструкции № 3 об общих правилах газобезопасности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lastRenderedPageBreak/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</w:t>
      </w:r>
      <w:r w:rsidRPr="00B4645D">
        <w:rPr>
          <w:sz w:val="23"/>
          <w:szCs w:val="23"/>
        </w:rPr>
        <w:lastRenderedPageBreak/>
        <w:t>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</w:t>
      </w:r>
      <w:r w:rsidRPr="00B4645D">
        <w:rPr>
          <w:rFonts w:cs="Arial"/>
          <w:sz w:val="23"/>
          <w:szCs w:val="23"/>
        </w:rPr>
        <w:lastRenderedPageBreak/>
        <w:t>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lastRenderedPageBreak/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4C2E26" w:rsidRPr="00B4645D">
              <w:rPr>
                <w:color w:val="000000"/>
                <w:sz w:val="23"/>
                <w:szCs w:val="23"/>
              </w:rPr>
              <w:t>997150001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B4645D" w:rsidRPr="00B4645D" w:rsidRDefault="00B4645D" w:rsidP="004B2615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0C5" w:rsidRDefault="00D810C5">
      <w:r>
        <w:separator/>
      </w:r>
    </w:p>
  </w:endnote>
  <w:endnote w:type="continuationSeparator" w:id="0">
    <w:p w:rsidR="00D810C5" w:rsidRDefault="00D8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021D3" w:rsidRPr="002021D3">
      <w:rPr>
        <w:noProof/>
        <w:lang w:val="ru-RU"/>
      </w:rPr>
      <w:t>2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0C5" w:rsidRDefault="00D810C5">
      <w:r>
        <w:separator/>
      </w:r>
    </w:p>
  </w:footnote>
  <w:footnote w:type="continuationSeparator" w:id="0">
    <w:p w:rsidR="00D810C5" w:rsidRDefault="00D8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№ 08-ШМ ПНР (Шеф-монтаж и пусконаладка.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7bqXKXAKwmAXvWeNZe+0URPJno=" w:salt="AtGG7eDNUozOpzKRXinHa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21D3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0C5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F6FCC44-3C7B-41BA-8A1B-1188342C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87AF4"/>
    <w:rsid w:val="001922E4"/>
    <w:rsid w:val="00416ABF"/>
    <w:rsid w:val="008F2D35"/>
    <w:rsid w:val="00BC316E"/>
    <w:rsid w:val="00CB5245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93FCC-82AF-40D3-A9CE-8DF74F1D9A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DB344-BB9F-4D1A-80C3-29874744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2961</Words>
  <Characters>16880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Лапочкин Алексей Владимирович</cp:lastModifiedBy>
  <cp:revision>2</cp:revision>
  <cp:lastPrinted>2016-12-23T11:43:00Z</cp:lastPrinted>
  <dcterms:created xsi:type="dcterms:W3CDTF">2017-03-02T10:30:00Z</dcterms:created>
  <dcterms:modified xsi:type="dcterms:W3CDTF">2017-03-02T10:30:00Z</dcterms:modified>
</cp:coreProperties>
</file>